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F5" w:rsidRPr="00323FD4" w:rsidRDefault="00323FD4" w:rsidP="00323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FD4">
        <w:rPr>
          <w:rFonts w:ascii="Times New Roman" w:hAnsi="Times New Roman" w:cs="Times New Roman"/>
          <w:b/>
          <w:sz w:val="24"/>
          <w:szCs w:val="24"/>
        </w:rPr>
        <w:t>Antibacterial</w:t>
      </w:r>
      <w:proofErr w:type="spellEnd"/>
      <w:r w:rsidRPr="00323FD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23FD4">
        <w:rPr>
          <w:rFonts w:ascii="Times New Roman" w:hAnsi="Times New Roman" w:cs="Times New Roman"/>
          <w:b/>
          <w:sz w:val="24"/>
          <w:szCs w:val="24"/>
        </w:rPr>
        <w:t>phytochemical</w:t>
      </w:r>
      <w:proofErr w:type="spellEnd"/>
      <w:r w:rsidRPr="00323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3FD4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323FD4">
        <w:rPr>
          <w:rFonts w:ascii="Times New Roman" w:hAnsi="Times New Roman" w:cs="Times New Roman"/>
          <w:b/>
          <w:sz w:val="24"/>
          <w:szCs w:val="24"/>
        </w:rPr>
        <w:t xml:space="preserve"> of South Benin plants on </w:t>
      </w:r>
      <w:proofErr w:type="spellStart"/>
      <w:r w:rsidRPr="00323FD4">
        <w:rPr>
          <w:rFonts w:ascii="Times New Roman" w:hAnsi="Times New Roman" w:cs="Times New Roman"/>
          <w:b/>
          <w:sz w:val="24"/>
          <w:szCs w:val="24"/>
        </w:rPr>
        <w:t>multidrug-resistant</w:t>
      </w:r>
      <w:proofErr w:type="spellEnd"/>
      <w:r w:rsidRPr="00323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3FD4">
        <w:rPr>
          <w:rFonts w:ascii="Times New Roman" w:hAnsi="Times New Roman" w:cs="Times New Roman"/>
          <w:b/>
          <w:sz w:val="24"/>
          <w:szCs w:val="24"/>
        </w:rPr>
        <w:t>enteropathogens</w:t>
      </w:r>
      <w:proofErr w:type="spellEnd"/>
    </w:p>
    <w:p w:rsidR="00323FD4" w:rsidRDefault="00323FD4"/>
    <w:p w:rsidR="00323FD4" w:rsidRDefault="00323FD4" w:rsidP="00323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</w:rPr>
        <w:t>Afousssatou</w:t>
      </w:r>
      <w:proofErr w:type="spellEnd"/>
      <w:r>
        <w:rPr>
          <w:rFonts w:ascii="Times New Roman" w:hAnsi="Times New Roman" w:cs="Times New Roman"/>
          <w:b/>
          <w:bCs/>
        </w:rPr>
        <w:t xml:space="preserve"> Amadou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eastAsiaTheme="minorEastAsia" w:hAnsi="Times New Roman" w:cs="Times New Roman"/>
          <w:color w:val="FF0000"/>
          <w:kern w:val="24"/>
          <w:lang w:eastAsia="fr-FR"/>
        </w:rPr>
        <w:t>*</w:t>
      </w:r>
      <w:r>
        <w:rPr>
          <w:rFonts w:ascii="Times New Roman" w:hAnsi="Times New Roman" w:cs="Times New Roman"/>
          <w:b/>
          <w:bCs/>
        </w:rPr>
        <w:t>, Victorien Dougnon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proofErr w:type="gramStart"/>
      <w:r>
        <w:rPr>
          <w:rFonts w:ascii="Times New Roman" w:hAnsi="Times New Roman" w:cs="Times New Roman"/>
          <w:b/>
          <w:bCs/>
          <w:vertAlign w:val="superscript"/>
        </w:rPr>
        <w:t>,3</w:t>
      </w:r>
      <w:proofErr w:type="gramEnd"/>
      <w:r>
        <w:rPr>
          <w:rFonts w:ascii="Times New Roman" w:hAnsi="Times New Roman" w:cs="Times New Roman"/>
          <w:b/>
          <w:bCs/>
          <w:vertAlign w:val="superscript"/>
        </w:rPr>
        <w:t>, </w:t>
      </w:r>
      <w:r>
        <w:rPr>
          <w:rFonts w:ascii="Times New Roman" w:hAnsi="Times New Roman" w:cs="Times New Roman"/>
          <w:b/>
          <w:bCs/>
        </w:rPr>
        <w:t>, Esther Deguenon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Jerrold</w:t>
      </w:r>
      <w:proofErr w:type="spellEnd"/>
      <w:r>
        <w:rPr>
          <w:rFonts w:ascii="Times New Roman" w:hAnsi="Times New Roman" w:cs="Times New Roman"/>
          <w:b/>
          <w:bCs/>
        </w:rPr>
        <w:t xml:space="preserve"> Agbankpè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 Gildas Hounmanou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,Boris Lègba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Alidah</w:t>
      </w:r>
      <w:proofErr w:type="spellEnd"/>
      <w:r>
        <w:rPr>
          <w:rFonts w:ascii="Times New Roman" w:hAnsi="Times New Roman" w:cs="Times New Roman"/>
          <w:b/>
          <w:bCs/>
        </w:rPr>
        <w:t xml:space="preserve"> Aniambossou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 Edna Hounsa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Kafayath</w:t>
      </w:r>
      <w:proofErr w:type="spellEnd"/>
      <w:r>
        <w:rPr>
          <w:rFonts w:ascii="Times New Roman" w:hAnsi="Times New Roman" w:cs="Times New Roman"/>
          <w:b/>
          <w:bCs/>
        </w:rPr>
        <w:t xml:space="preserve"> Fabiyi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 Phénix Assogba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 Honoré Bankolé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>, Jacques Dougnon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, Lamine Baba-Moussa</w:t>
      </w:r>
      <w:r>
        <w:rPr>
          <w:rFonts w:ascii="Times New Roman" w:hAnsi="Times New Roman" w:cs="Times New Roman"/>
          <w:b/>
          <w:bCs/>
          <w:vertAlign w:val="superscript"/>
        </w:rPr>
        <w:t>2,3</w:t>
      </w:r>
    </w:p>
    <w:p w:rsidR="00323FD4" w:rsidRDefault="00323FD4" w:rsidP="00323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vertAlign w:val="superscript"/>
        </w:rPr>
      </w:pPr>
    </w:p>
    <w:p w:rsidR="00323FD4" w:rsidRDefault="00323FD4" w:rsidP="00323FD4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1Laboratoire de Recherche en Biologie Appliquée (LARBA), Ecole Polytechnique d’Abomey 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Calavi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(EPAC), 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University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of Abomey-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Calavi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>, Benin, 2Laboratoire d’Hygiène, Assainissement, Toxicologie et de Santé Environnementale, ex-Laboratoire de Toxicologie et de Santé Environnementale (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HeCOTHES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), 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CentreInterfacultaire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de Formation et de Recherche en Environnement pour le Développement Durable (CIFRED), 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University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of Abomey-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Calavi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>, Benin; 3Unité de Recherche en Microbiologie Appliquée et Pharmacologie des substances naturelles (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URMAPha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>), Ecole Polytechnique d’Abomey-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Calavi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>, Université d’Abomey-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Calavi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>,</w:t>
      </w:r>
    </w:p>
    <w:p w:rsidR="00323FD4" w:rsidRDefault="00323FD4" w:rsidP="00323F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323FD4" w:rsidRDefault="00323FD4" w:rsidP="00323F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Theme="minorEastAsia" w:hAnsi="Times New Roman" w:cs="Times New Roman"/>
          <w:kern w:val="24"/>
          <w:lang w:eastAsia="fr-FR"/>
        </w:rPr>
        <w:t>*</w:t>
      </w:r>
      <w:r>
        <w:rPr>
          <w:rFonts w:ascii="Times New Roman" w:eastAsiaTheme="minorEastAsia" w:hAnsi="Times New Roman" w:cs="Times New Roman"/>
          <w:b/>
          <w:bCs/>
          <w:kern w:val="24"/>
          <w:lang w:eastAsia="fr-FR"/>
        </w:rPr>
        <w:t xml:space="preserve">Auteur pour la correspondance: </w:t>
      </w:r>
      <w:r>
        <w:rPr>
          <w:rFonts w:ascii="Times New Roman" w:eastAsiaTheme="minorEastAsia" w:hAnsi="Times New Roman" w:cs="Times New Roman"/>
          <w:kern w:val="24"/>
          <w:lang w:eastAsia="fr-FR"/>
        </w:rPr>
        <w:t xml:space="preserve">AMADOU Afoussatou, Tél: (229) 97 73 64 46, E-mail: </w:t>
      </w:r>
      <w:hyperlink r:id="rId4" w:history="1">
        <w:r>
          <w:rPr>
            <w:rStyle w:val="Lienhypertexte"/>
            <w:rFonts w:ascii="Times New Roman" w:eastAsiaTheme="minorEastAsia" w:hAnsi="Times New Roman" w:cs="Times New Roman"/>
            <w:kern w:val="24"/>
            <w:lang w:eastAsia="fr-FR"/>
          </w:rPr>
          <w:t>afoussaa82@gmail.com</w:t>
        </w:r>
      </w:hyperlink>
      <w:r>
        <w:rPr>
          <w:rFonts w:ascii="Times New Roman" w:eastAsiaTheme="minorEastAsia" w:hAnsi="Times New Roman" w:cs="Times New Roman"/>
          <w:kern w:val="24"/>
          <w:lang w:eastAsia="fr-FR"/>
        </w:rPr>
        <w:t xml:space="preserve"> </w:t>
      </w:r>
    </w:p>
    <w:p w:rsid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fr-FR"/>
        </w:rPr>
        <w:t>Abstract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3FD4">
        <w:rPr>
          <w:rFonts w:ascii="Times New Roman" w:eastAsia="Times New Roman" w:hAnsi="Times New Roman" w:cs="Times New Roman"/>
          <w:lang w:eastAsia="fr-FR"/>
        </w:rPr>
        <w:t xml:space="preserve">As a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result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therapeutic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failures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rising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cost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treating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enteropathogenic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infections,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scientists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are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trying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find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alternative care options.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Hence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emergence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medicinal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plants,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increasingly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known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sub-Saharan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Africa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traditional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pharmacopoei</w:t>
      </w:r>
      <w:bookmarkStart w:id="0" w:name="_GoBack"/>
      <w:bookmarkEnd w:id="0"/>
      <w:r w:rsidRPr="00323FD4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for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many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pharmacological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activities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>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3FD4">
        <w:rPr>
          <w:rFonts w:ascii="Times New Roman" w:eastAsia="Times New Roman" w:hAnsi="Times New Roman" w:cs="Times New Roman"/>
          <w:lang w:eastAsia="fr-FR"/>
        </w:rPr>
        <w:t xml:space="preserve">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present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study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initiated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general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aim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to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evaluate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biological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chemical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activity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aqueous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ethanoid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extracts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some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plants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southern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Benin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namely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Cajanus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cajan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leaves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), Vernonia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amygdalina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leaves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)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Psidium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guayava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leaves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proofErr w:type="gramStart"/>
      <w:r w:rsidRPr="00323FD4">
        <w:rPr>
          <w:rFonts w:ascii="Times New Roman" w:eastAsia="Times New Roman" w:hAnsi="Times New Roman" w:cs="Times New Roman"/>
          <w:lang w:eastAsia="fr-FR"/>
        </w:rPr>
        <w:t>roots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)</w:t>
      </w:r>
      <w:proofErr w:type="gramEnd"/>
      <w:r w:rsidRPr="00323FD4">
        <w:rPr>
          <w:rFonts w:ascii="Times New Roman" w:eastAsia="Times New Roman" w:hAnsi="Times New Roman" w:cs="Times New Roman"/>
          <w:lang w:eastAsia="fr-FR"/>
        </w:rPr>
        <w:t xml:space="preserve"> on multi-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resistant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bacterial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strains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>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Fieldwork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following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ethnobotanical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survey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to select efficient plants,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followed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by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laboratory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work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through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bacteriological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molecular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biology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tests,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allowed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study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efficacy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these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various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plants in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treatment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enteropathogens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 vitro.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all the plants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selected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have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presented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interesting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levels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flavonoids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polyphenols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are all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nontoxic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at a concentration of 100 mg / ml. The agar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liquid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diffusion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methods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were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used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for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sensitivity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test and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determination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the minimum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inhibitory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concentration (MIC) and minimum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bactericidal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concentration (MBC).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aqueous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ethanoid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extracts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the plants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used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are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antibacterial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>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3FD4">
        <w:rPr>
          <w:rFonts w:ascii="Times New Roman" w:eastAsia="Times New Roman" w:hAnsi="Times New Roman" w:cs="Times New Roman"/>
          <w:lang w:eastAsia="fr-FR"/>
        </w:rPr>
        <w:t xml:space="preserve">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lowest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MICs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CMBs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were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obtained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at a concentration of 25 mg.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3FD4">
        <w:rPr>
          <w:rFonts w:ascii="Times New Roman" w:eastAsia="Times New Roman" w:hAnsi="Times New Roman" w:cs="Times New Roman"/>
          <w:lang w:eastAsia="fr-FR"/>
        </w:rPr>
        <w:t xml:space="preserve">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various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extracts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selected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plants have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shown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therapeutic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efficacy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to the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various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enteropathogenic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strains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tested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could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therefore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constitute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substituents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antibiotics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following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transformations in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improved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traditional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drugs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>.</w:t>
      </w:r>
    </w:p>
    <w:p w:rsidR="00323FD4" w:rsidRP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3FD4">
        <w:rPr>
          <w:rFonts w:ascii="Times New Roman" w:eastAsia="Times New Roman" w:hAnsi="Times New Roman" w:cs="Times New Roman"/>
          <w:lang w:eastAsia="fr-FR"/>
        </w:rPr>
        <w:t xml:space="preserve">Key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words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: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ethnobotany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investigation,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enteropathogenic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strains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aqueous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extracts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ethanoic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extracts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23FD4">
        <w:rPr>
          <w:rFonts w:ascii="Times New Roman" w:eastAsia="Times New Roman" w:hAnsi="Times New Roman" w:cs="Times New Roman"/>
          <w:lang w:eastAsia="fr-FR"/>
        </w:rPr>
        <w:t>phenolic</w:t>
      </w:r>
      <w:proofErr w:type="spellEnd"/>
      <w:r w:rsidRPr="00323F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323FD4">
        <w:rPr>
          <w:rFonts w:ascii="Times New Roman" w:eastAsia="Times New Roman" w:hAnsi="Times New Roman" w:cs="Times New Roman"/>
          <w:lang w:eastAsia="fr-FR"/>
        </w:rPr>
        <w:t>compounds</w:t>
      </w:r>
      <w:proofErr w:type="gramEnd"/>
      <w:r w:rsidRPr="00323FD4">
        <w:rPr>
          <w:rFonts w:ascii="Times New Roman" w:eastAsia="Times New Roman" w:hAnsi="Times New Roman" w:cs="Times New Roman"/>
          <w:lang w:eastAsia="fr-FR"/>
        </w:rPr>
        <w:t>.</w:t>
      </w:r>
    </w:p>
    <w:p w:rsidR="00323FD4" w:rsidRDefault="00323FD4" w:rsidP="0032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23FD4" w:rsidRDefault="00323FD4"/>
    <w:p w:rsidR="000C4A83" w:rsidRDefault="000C4A83"/>
    <w:sectPr w:rsidR="000C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D4"/>
    <w:rsid w:val="000C4A83"/>
    <w:rsid w:val="00323FD4"/>
    <w:rsid w:val="005F57F5"/>
    <w:rsid w:val="006123D2"/>
    <w:rsid w:val="00D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42D2-E767-4341-8F9D-3764E688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3F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oussaa8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MON-PC</dc:creator>
  <cp:keywords/>
  <dc:description/>
  <cp:lastModifiedBy>MON-PC</cp:lastModifiedBy>
  <cp:revision>2</cp:revision>
  <dcterms:created xsi:type="dcterms:W3CDTF">2018-03-28T01:52:00Z</dcterms:created>
  <dcterms:modified xsi:type="dcterms:W3CDTF">2018-04-09T01:17:00Z</dcterms:modified>
</cp:coreProperties>
</file>